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F3348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__________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9C77E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C77E8">
        <w:rPr>
          <w:rFonts w:ascii="Times New Roman" w:hAnsi="Times New Roman" w:cs="Times New Roman"/>
          <w:b/>
          <w:sz w:val="28"/>
          <w:szCs w:val="28"/>
        </w:rPr>
        <w:t>Липовка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9C77E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Липовка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9C77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9C77E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C77E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C77E8">
        <w:rPr>
          <w:rFonts w:ascii="Times New Roman" w:hAnsi="Times New Roman" w:cs="Times New Roman"/>
          <w:bCs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9C77E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C77E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C77E8">
        <w:rPr>
          <w:rFonts w:ascii="Times New Roman" w:hAnsi="Times New Roman" w:cs="Times New Roman"/>
          <w:bCs/>
          <w:sz w:val="28"/>
          <w:szCs w:val="28"/>
        </w:rPr>
        <w:t>Липовка</w:t>
      </w:r>
      <w:r w:rsidR="009C77E8">
        <w:rPr>
          <w:rFonts w:ascii="Times New Roman" w:hAnsi="Times New Roman" w:cs="Times New Roman"/>
          <w:sz w:val="28"/>
          <w:szCs w:val="28"/>
        </w:rPr>
        <w:t xml:space="preserve"> </w:t>
      </w:r>
      <w:r w:rsidR="00A6198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9C77E8" w:rsidRPr="009C77E8" w:rsidRDefault="009C77E8" w:rsidP="009C77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9C77E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C77E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C77E8">
        <w:rPr>
          <w:rFonts w:ascii="Times New Roman" w:hAnsi="Times New Roman" w:cs="Times New Roman"/>
          <w:bCs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9C77E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C77E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C77E8">
        <w:rPr>
          <w:rFonts w:ascii="Times New Roman" w:hAnsi="Times New Roman" w:cs="Times New Roman"/>
          <w:bCs/>
          <w:sz w:val="28"/>
          <w:szCs w:val="28"/>
        </w:rPr>
        <w:t>Липовка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C44C53">
        <w:rPr>
          <w:rFonts w:ascii="Times New Roman" w:eastAsia="Times New Roman" w:hAnsi="Times New Roman" w:cs="Times New Roman"/>
          <w:sz w:val="28"/>
          <w:szCs w:val="28"/>
        </w:rPr>
        <w:t>22 от 25.10.2017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9C77E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C77E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C77E8">
        <w:rPr>
          <w:rFonts w:ascii="Times New Roman" w:hAnsi="Times New Roman" w:cs="Times New Roman"/>
          <w:bCs/>
          <w:sz w:val="28"/>
          <w:szCs w:val="28"/>
        </w:rPr>
        <w:t>Липовка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C77E8" w:rsidRPr="006F3348" w:rsidRDefault="009C77E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9C77E8" w:rsidRDefault="009C77E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Липовка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77E8">
        <w:rPr>
          <w:rFonts w:ascii="Times New Roman" w:hAnsi="Times New Roman" w:cs="Times New Roman"/>
          <w:sz w:val="28"/>
          <w:szCs w:val="28"/>
        </w:rPr>
        <w:t xml:space="preserve">     Н.Н. Тихонова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77E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C77E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C77E8">
        <w:rPr>
          <w:rFonts w:ascii="Times New Roman" w:hAnsi="Times New Roman" w:cs="Times New Roman"/>
          <w:bCs/>
          <w:sz w:val="28"/>
          <w:szCs w:val="28"/>
        </w:rPr>
        <w:t>Липовка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</w:t>
      </w:r>
      <w:bookmarkStart w:id="0" w:name="_GoBack"/>
      <w:bookmarkEnd w:id="0"/>
      <w:r w:rsidR="009C77E8">
        <w:rPr>
          <w:rFonts w:ascii="Times New Roman" w:hAnsi="Times New Roman" w:cs="Times New Roman"/>
          <w:sz w:val="28"/>
          <w:szCs w:val="28"/>
        </w:rPr>
        <w:t>С.И. Вершинин</w:t>
      </w:r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9C77E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7E8">
        <w:rPr>
          <w:rFonts w:ascii="Times New Roman" w:hAnsi="Times New Roman" w:cs="Times New Roman"/>
          <w:bCs/>
          <w:sz w:val="24"/>
          <w:szCs w:val="24"/>
        </w:rPr>
        <w:t>сельского поселения Липовка</w:t>
      </w:r>
      <w:r w:rsidRPr="00A61980">
        <w:rPr>
          <w:rFonts w:ascii="Times New Roman" w:hAnsi="Times New Roman" w:cs="Times New Roman"/>
          <w:sz w:val="24"/>
          <w:szCs w:val="24"/>
        </w:rPr>
        <w:t xml:space="preserve">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№_____ от «___»________2022г.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9C77E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C77E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C77E8">
        <w:rPr>
          <w:rFonts w:ascii="Times New Roman" w:hAnsi="Times New Roman" w:cs="Times New Roman"/>
          <w:bCs/>
          <w:sz w:val="28"/>
          <w:szCs w:val="28"/>
        </w:rPr>
        <w:t>Липовка</w:t>
      </w:r>
      <w:r w:rsidR="009C77E8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Правила благоустройства территории </w:t>
      </w:r>
      <w:r w:rsidR="009C77E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C77E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C77E8">
        <w:rPr>
          <w:rFonts w:ascii="Times New Roman" w:hAnsi="Times New Roman" w:cs="Times New Roman"/>
          <w:bCs/>
          <w:sz w:val="28"/>
          <w:szCs w:val="28"/>
        </w:rPr>
        <w:t>Липовка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C44C5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C44C53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44C53">
        <w:rPr>
          <w:rFonts w:ascii="Times New Roman" w:hAnsi="Times New Roman" w:cs="Times New Roman"/>
          <w:bCs/>
          <w:sz w:val="28"/>
          <w:szCs w:val="28"/>
        </w:rPr>
        <w:t>Липовка</w:t>
      </w:r>
      <w:r w:rsidR="00C44C5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C44C5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C44C53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44C53">
        <w:rPr>
          <w:rFonts w:ascii="Times New Roman" w:hAnsi="Times New Roman" w:cs="Times New Roman"/>
          <w:bCs/>
          <w:sz w:val="28"/>
          <w:szCs w:val="28"/>
        </w:rPr>
        <w:t>Липовка</w:t>
      </w:r>
      <w:r w:rsidR="00C44C5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 xml:space="preserve">деятельность по реализации комплекса мероприятий, установленного настоящими правилами, направленная на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</w:t>
      </w:r>
      <w:r w:rsidR="00B0769C">
        <w:rPr>
          <w:rFonts w:ascii="Times New Roman" w:hAnsi="Times New Roman" w:cs="Times New Roman"/>
          <w:sz w:val="28"/>
          <w:szCs w:val="28"/>
        </w:rPr>
        <w:lastRenderedPageBreak/>
        <w:t>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084A1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084A19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084A19">
        <w:rPr>
          <w:rFonts w:ascii="Times New Roman" w:hAnsi="Times New Roman" w:cs="Times New Roman"/>
          <w:bCs/>
          <w:sz w:val="28"/>
          <w:szCs w:val="28"/>
        </w:rPr>
        <w:t>Липовка</w:t>
      </w:r>
      <w:r w:rsidR="00084A19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084A1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084A19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084A19">
        <w:rPr>
          <w:rFonts w:ascii="Times New Roman" w:hAnsi="Times New Roman" w:cs="Times New Roman"/>
          <w:bCs/>
          <w:sz w:val="28"/>
          <w:szCs w:val="28"/>
        </w:rPr>
        <w:t>Липовка</w:t>
      </w:r>
      <w:r w:rsidR="00084A19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4.1.1. 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>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</w:t>
      </w:r>
      <w:r w:rsidR="00BE5568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использование элементов оборудования сезонных кафе для размещения рекламных и информационных конструкций, а также иных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.2.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(при 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Установка емкостей для временного хранения отходов производства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>, являющихся общим имуществом собственников многоквартирных домов и 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мостов, путепроводов, пешеходных переходов (прилегающих 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поселения осуществляется специализированными организациями по договорам с администрацией поселения,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04462F">
        <w:rPr>
          <w:rFonts w:ascii="Times New Roman" w:hAnsi="Times New Roman" w:cs="Times New Roman"/>
          <w:sz w:val="24"/>
          <w:szCs w:val="24"/>
        </w:rPr>
        <w:t>Липовка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0446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сельского 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04462F">
        <w:rPr>
          <w:rFonts w:ascii="Times New Roman" w:hAnsi="Times New Roman" w:cs="Times New Roman"/>
          <w:sz w:val="24"/>
          <w:szCs w:val="24"/>
        </w:rPr>
        <w:t>Липовка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04462F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04462F">
        <w:rPr>
          <w:rFonts w:ascii="Times New Roman" w:hAnsi="Times New Roman" w:cs="Times New Roman"/>
          <w:spacing w:val="2"/>
          <w:sz w:val="28"/>
          <w:szCs w:val="28"/>
        </w:rPr>
        <w:t>Липовка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DB6B0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DB6B01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B6B01">
        <w:rPr>
          <w:rFonts w:ascii="Times New Roman" w:hAnsi="Times New Roman" w:cs="Times New Roman"/>
          <w:bCs/>
          <w:sz w:val="28"/>
          <w:szCs w:val="28"/>
        </w:rPr>
        <w:t>Липовка</w:t>
      </w:r>
      <w:r w:rsidR="00DB6B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</w:t>
      </w:r>
      <w:r w:rsidR="00DB6B01">
        <w:rPr>
          <w:rFonts w:ascii="Times New Roman" w:hAnsi="Times New Roman" w:cs="Times New Roman"/>
          <w:spacing w:val="2"/>
          <w:sz w:val="28"/>
          <w:szCs w:val="28"/>
        </w:rPr>
        <w:t>Вершинина Сергея Ивановича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DB6B01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DB6B01">
        <w:rPr>
          <w:rFonts w:ascii="Times New Roman" w:hAnsi="Times New Roman" w:cs="Times New Roman"/>
          <w:spacing w:val="2"/>
          <w:sz w:val="28"/>
          <w:szCs w:val="28"/>
        </w:rPr>
        <w:t>Липовка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3A63A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A63A9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A63A9">
        <w:rPr>
          <w:rFonts w:ascii="Times New Roman" w:hAnsi="Times New Roman" w:cs="Times New Roman"/>
          <w:bCs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3A63A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sectPr w:rsidR="00E34712" w:rsidSect="009C77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36B5D"/>
    <w:rsid w:val="0004462F"/>
    <w:rsid w:val="00047189"/>
    <w:rsid w:val="00050DDC"/>
    <w:rsid w:val="00052590"/>
    <w:rsid w:val="00052F26"/>
    <w:rsid w:val="00055D3F"/>
    <w:rsid w:val="000604D9"/>
    <w:rsid w:val="0007440A"/>
    <w:rsid w:val="00084A19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A63A9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42134"/>
    <w:rsid w:val="00973F10"/>
    <w:rsid w:val="0097667B"/>
    <w:rsid w:val="00980BC3"/>
    <w:rsid w:val="0099221D"/>
    <w:rsid w:val="009A3633"/>
    <w:rsid w:val="009C5995"/>
    <w:rsid w:val="009C77E8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23629"/>
    <w:rsid w:val="00C31E94"/>
    <w:rsid w:val="00C44C53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6B01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E7ED-06E5-4632-A229-6A3407EE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48</Pages>
  <Words>19547</Words>
  <Characters>111420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2022-03-04T10:34:00Z</dcterms:created>
  <dcterms:modified xsi:type="dcterms:W3CDTF">2022-06-10T10:22:00Z</dcterms:modified>
</cp:coreProperties>
</file>